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504C0" w14:textId="77777777" w:rsidR="00222C7D" w:rsidRPr="00222C7D" w:rsidRDefault="00222C7D" w:rsidP="00222C7D">
      <w:pPr>
        <w:tabs>
          <w:tab w:val="left" w:pos="993"/>
        </w:tabs>
        <w:ind w:firstLine="709"/>
        <w:jc w:val="right"/>
        <w:rPr>
          <w:rFonts w:eastAsia="Calibri"/>
          <w:iCs/>
          <w:sz w:val="24"/>
          <w:szCs w:val="24"/>
          <w:lang w:val="ro-RO"/>
        </w:rPr>
      </w:pPr>
      <w:r w:rsidRPr="00222C7D">
        <w:rPr>
          <w:rFonts w:eastAsia="Calibri"/>
          <w:iCs/>
          <w:sz w:val="24"/>
          <w:szCs w:val="24"/>
          <w:lang w:val="ro-RO"/>
        </w:rPr>
        <w:t>Anexa nr. 8</w:t>
      </w:r>
    </w:p>
    <w:p w14:paraId="3BD416BD" w14:textId="77777777" w:rsidR="00222C7D" w:rsidRPr="00222C7D" w:rsidRDefault="00222C7D" w:rsidP="00222C7D">
      <w:pPr>
        <w:tabs>
          <w:tab w:val="left" w:pos="993"/>
        </w:tabs>
        <w:ind w:firstLine="709"/>
        <w:jc w:val="right"/>
        <w:rPr>
          <w:rFonts w:eastAsia="Calibri"/>
          <w:b/>
          <w:bCs/>
          <w:iCs/>
          <w:sz w:val="24"/>
          <w:szCs w:val="24"/>
          <w:lang w:val="ro-RO"/>
        </w:rPr>
      </w:pPr>
    </w:p>
    <w:p w14:paraId="52791418" w14:textId="77777777" w:rsidR="00222C7D" w:rsidRPr="00222C7D" w:rsidRDefault="00222C7D" w:rsidP="00222C7D">
      <w:pPr>
        <w:tabs>
          <w:tab w:val="left" w:pos="993"/>
        </w:tabs>
        <w:ind w:firstLine="709"/>
        <w:jc w:val="center"/>
        <w:rPr>
          <w:rFonts w:eastAsia="Calibri"/>
          <w:b/>
          <w:bCs/>
          <w:iCs/>
          <w:sz w:val="24"/>
          <w:szCs w:val="24"/>
          <w:lang w:val="ro-RO"/>
        </w:rPr>
      </w:pPr>
      <w:r w:rsidRPr="00222C7D">
        <w:rPr>
          <w:rFonts w:eastAsia="Calibri"/>
          <w:b/>
          <w:bCs/>
          <w:iCs/>
          <w:sz w:val="24"/>
          <w:szCs w:val="24"/>
          <w:lang w:val="ro-RO"/>
        </w:rPr>
        <w:t>Conținutul invitațiilor pentru depunerea ofertelor, pentru participarea la dialogul competitiv sau pentru confirmarea interesului, prevăzute la art. 54</w:t>
      </w:r>
    </w:p>
    <w:p w14:paraId="0A04C8D8" w14:textId="77777777" w:rsidR="00222C7D" w:rsidRPr="00483AA0" w:rsidRDefault="00222C7D" w:rsidP="00222C7D">
      <w:pPr>
        <w:tabs>
          <w:tab w:val="left" w:pos="993"/>
        </w:tabs>
        <w:ind w:firstLine="709"/>
        <w:jc w:val="center"/>
        <w:rPr>
          <w:rFonts w:eastAsia="Calibri"/>
          <w:b/>
          <w:bCs/>
          <w:iCs/>
          <w:sz w:val="24"/>
          <w:szCs w:val="24"/>
          <w:lang w:val="ro-RO"/>
        </w:rPr>
      </w:pPr>
    </w:p>
    <w:p w14:paraId="7499BE10"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 xml:space="preserve">1. Invitațiile pentru depunerea ofertelor sau cele pentru participarea la un dialog competitiv trebuie să conțină cel puțin: </w:t>
      </w:r>
    </w:p>
    <w:p w14:paraId="491D6379"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a) o trimitere la invitația la procedura concurențială de ofertare publicată;</w:t>
      </w:r>
    </w:p>
    <w:p w14:paraId="077DF5F2"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b) termenul-</w:t>
      </w:r>
      <w:proofErr w:type="spellStart"/>
      <w:r w:rsidRPr="00483AA0">
        <w:rPr>
          <w:rFonts w:eastAsia="Calibri"/>
          <w:bCs/>
          <w:iCs/>
          <w:sz w:val="24"/>
          <w:szCs w:val="24"/>
          <w:lang w:val="ro-RO"/>
        </w:rPr>
        <w:t>limit</w:t>
      </w:r>
      <w:proofErr w:type="spellEnd"/>
      <w:r w:rsidRPr="00483AA0">
        <w:rPr>
          <w:rFonts w:eastAsia="Calibri"/>
          <w:bCs/>
          <w:iCs/>
          <w:sz w:val="24"/>
          <w:szCs w:val="24"/>
        </w:rPr>
        <w:t>ă</w:t>
      </w:r>
      <w:r w:rsidRPr="00483AA0">
        <w:rPr>
          <w:rFonts w:eastAsia="Calibri"/>
          <w:bCs/>
          <w:iCs/>
          <w:sz w:val="24"/>
          <w:szCs w:val="24"/>
          <w:lang w:val="ro-RO"/>
        </w:rPr>
        <w:t xml:space="preserve"> de primire a ofertelor, adresa la care trebuie trimise ofertele și limba/limbile în care acestea trebuie redactate;</w:t>
      </w:r>
    </w:p>
    <w:p w14:paraId="0651085A"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c) în cazul unui dialog competitiv, data și adresa stabilite pentru începerea etapei de consultare, precum și limbile utilizate pe întreaga perioadă de desfășurare a procedurii;</w:t>
      </w:r>
    </w:p>
    <w:p w14:paraId="6DBA2A73"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d) o trimitere la documentele care pot fi anexate fie în sprijinul declarațiilor furnizate de ofertant în conformitate cu art. 60 și 61 și, după caz, cu art. 63, care pot fi verificate, fie în completarea informațiilor prevăzute la articolele respective și în condițiile prevăzute la art. 60, 61 și 63;</w:t>
      </w:r>
    </w:p>
    <w:p w14:paraId="19FB821A"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 xml:space="preserve">e) ponderea relativă a criteriilor de atribuire a contractului </w:t>
      </w:r>
      <w:r w:rsidRPr="00483AA0">
        <w:rPr>
          <w:bCs/>
          <w:sz w:val="24"/>
          <w:szCs w:val="24"/>
          <w:lang w:val="ro-RO" w:eastAsia="en-GB"/>
        </w:rPr>
        <w:t xml:space="preserve">de achiziție </w:t>
      </w:r>
      <w:r w:rsidRPr="00483AA0">
        <w:rPr>
          <w:rFonts w:eastAsia="Calibri"/>
          <w:bCs/>
          <w:iCs/>
          <w:sz w:val="24"/>
          <w:szCs w:val="24"/>
          <w:lang w:val="ro-RO"/>
        </w:rPr>
        <w:t>publică sau, după caz, ordinea descrescătoare a importanței criteriilor respective, în cazul în care acestea nu sunt menționate în anunțul de participare, în invitația pentru confirmarea interesului sau în specificațiile tehnice.</w:t>
      </w:r>
    </w:p>
    <w:p w14:paraId="60BAF0E4"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 xml:space="preserve">2. În cazul contractelor </w:t>
      </w:r>
      <w:r w:rsidRPr="00483AA0">
        <w:rPr>
          <w:bCs/>
          <w:sz w:val="24"/>
          <w:szCs w:val="24"/>
          <w:lang w:val="ro-RO" w:eastAsia="en-GB"/>
        </w:rPr>
        <w:t xml:space="preserve">de achiziții </w:t>
      </w:r>
      <w:r w:rsidRPr="00483AA0">
        <w:rPr>
          <w:rFonts w:eastAsia="Calibri"/>
          <w:bCs/>
          <w:iCs/>
          <w:sz w:val="24"/>
          <w:szCs w:val="24"/>
          <w:lang w:val="ro-RO"/>
        </w:rPr>
        <w:t>publice atribuite prin procedura de dialog competitiv sau prin cea de parteneriat pentru inovare, informațiile menționate la pct. 1 lit. b) nu se includ în invitația pentru participarea la dialog sau la negociere, dar trebuie menționate în invitația pentru depunerea unei oferte.</w:t>
      </w:r>
    </w:p>
    <w:p w14:paraId="7EB845AC"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 xml:space="preserve">3. În cazul în care se face o invitație la o procedură concurențială de ofertare prin intermediul unui anunț de intenție, autoritatea contractantă invită ulterior toți candidații să își confirme interesul, pe baza informațiilor detaliate referitoare la contractul </w:t>
      </w:r>
      <w:r w:rsidRPr="00483AA0">
        <w:rPr>
          <w:bCs/>
          <w:sz w:val="24"/>
          <w:szCs w:val="24"/>
          <w:lang w:val="ro-RO" w:eastAsia="en-GB"/>
        </w:rPr>
        <w:t xml:space="preserve">de achiziție </w:t>
      </w:r>
      <w:r w:rsidRPr="00483AA0">
        <w:rPr>
          <w:rFonts w:eastAsia="Calibri"/>
          <w:bCs/>
          <w:iCs/>
          <w:sz w:val="24"/>
          <w:szCs w:val="24"/>
          <w:lang w:val="ro-RO"/>
        </w:rPr>
        <w:t>publică respectiv, înainte de începerea selectării ofertanților sau a participanților la negociere.</w:t>
      </w:r>
    </w:p>
    <w:p w14:paraId="7E55D86F"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Invitația respectivă include cel puțin următoarele informații:</w:t>
      </w:r>
    </w:p>
    <w:p w14:paraId="3E5D0B64"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a) natura și cantitatea bunurilor, serviciilor sau ale lucrărilor, inclusiv toate opțiunile privind acordurile adiționale și, atunci când este posibil, termenul estimat de exercitare a acestor opțiuni în cazul contractelor care pot fi modificate și, dacă este posibil, termenele estimate de publicare a anunțurilor ulterioare privind procedurile concurențiale de ofertare pentru bunuri, servicii sau lucrări;</w:t>
      </w:r>
    </w:p>
    <w:p w14:paraId="128AD8EB"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b) tipul procedurii de atribuire: licitație restrânsă sau negociere competitivă;</w:t>
      </w:r>
    </w:p>
    <w:p w14:paraId="73B05DD3"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c) după caz, data la care va începe sau se va finaliza livrarea bunurilor, prestarea serviciilor sau execuția lucrărilor;</w:t>
      </w:r>
    </w:p>
    <w:p w14:paraId="500C592B"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d) în cazul în care nu poate fi oferit accesul electronic, adresa și termenul de depunere a cererilor pentru a obține documentația de atribuire și limba/limbile autorizate pentru prezentarea cererilor;</w:t>
      </w:r>
    </w:p>
    <w:p w14:paraId="04C5A7A8"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e) adresa autorității contractante care urmează să atribuie contractul;</w:t>
      </w:r>
    </w:p>
    <w:p w14:paraId="2DBD9420"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f) cerințele economice și tehnice, garanțiile financiare și informațiile necesare cerute de la operatorii economici;</w:t>
      </w:r>
    </w:p>
    <w:p w14:paraId="5CE85D06"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g) forma contractului care face obiectul invitației de participare la procedura de ofertare: cumpărare, leasing, închiriere sau cumpărare cu plata în rate, sau orice combinație a acestora; și</w:t>
      </w:r>
    </w:p>
    <w:p w14:paraId="5945A15F" w14:textId="77777777" w:rsidR="00222C7D" w:rsidRPr="00483AA0" w:rsidRDefault="00222C7D" w:rsidP="00222C7D">
      <w:pPr>
        <w:tabs>
          <w:tab w:val="left" w:pos="993"/>
        </w:tabs>
        <w:ind w:firstLine="709"/>
        <w:rPr>
          <w:rFonts w:eastAsia="Calibri"/>
          <w:bCs/>
          <w:iCs/>
          <w:sz w:val="24"/>
          <w:szCs w:val="24"/>
          <w:lang w:val="ro-RO"/>
        </w:rPr>
      </w:pPr>
      <w:r w:rsidRPr="00483AA0">
        <w:rPr>
          <w:rFonts w:eastAsia="Calibri"/>
          <w:bCs/>
          <w:iCs/>
          <w:sz w:val="24"/>
          <w:szCs w:val="24"/>
          <w:lang w:val="ro-RO"/>
        </w:rPr>
        <w:t>h) criteriile de atribuire a contractului și ponderile acestor criterii sau, după caz, ordinea importanței acestora, în cazul în care aceste informații nu sunt indicate în anunțul de intenție sau în specificațiile tehnice, sau în invitația de participare la procedura de ofertare ori de negociere.</w:t>
      </w:r>
    </w:p>
    <w:p w14:paraId="78A3AFE4" w14:textId="77777777" w:rsidR="00B32DE8" w:rsidRPr="00222C7D" w:rsidRDefault="00B32DE8">
      <w:pPr>
        <w:rPr>
          <w:lang w:val="ro-RO"/>
        </w:rPr>
      </w:pPr>
    </w:p>
    <w:sectPr w:rsidR="00B32DE8" w:rsidRPr="00222C7D"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7D"/>
    <w:rsid w:val="00222C7D"/>
    <w:rsid w:val="00377770"/>
    <w:rsid w:val="003A6D73"/>
    <w:rsid w:val="0058181B"/>
    <w:rsid w:val="005C0197"/>
    <w:rsid w:val="006D1F82"/>
    <w:rsid w:val="00812258"/>
    <w:rsid w:val="00B32DE8"/>
    <w:rsid w:val="00D40252"/>
    <w:rsid w:val="00DC3938"/>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DCC0C"/>
  <w15:chartTrackingRefBased/>
  <w15:docId w15:val="{C30871E8-B73D-438E-A9B7-236D4445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2C7D"/>
    <w:pPr>
      <w:spacing w:after="0" w:line="240" w:lineRule="auto"/>
      <w:ind w:firstLine="720"/>
      <w:jc w:val="both"/>
    </w:pPr>
    <w:rPr>
      <w:rFonts w:ascii="Times New Roman" w:eastAsia="Times New Roman" w:hAnsi="Times New Roman" w:cs="Times New Roman"/>
      <w:kern w:val="0"/>
      <w:sz w:val="20"/>
      <w:szCs w:val="20"/>
      <w:lang w:val="en-US"/>
      <w14:ligatures w14:val="none"/>
    </w:rPr>
  </w:style>
  <w:style w:type="paragraph" w:styleId="1">
    <w:name w:val="heading 1"/>
    <w:basedOn w:val="a"/>
    <w:next w:val="a"/>
    <w:link w:val="10"/>
    <w:uiPriority w:val="9"/>
    <w:qFormat/>
    <w:rsid w:val="00222C7D"/>
    <w:pPr>
      <w:keepNext/>
      <w:keepLines/>
      <w:spacing w:before="360" w:after="80" w:line="276" w:lineRule="auto"/>
      <w:ind w:firstLine="0"/>
      <w:outlineLvl w:val="0"/>
    </w:pPr>
    <w:rPr>
      <w:rFonts w:asciiTheme="majorHAnsi" w:eastAsiaTheme="majorEastAsia" w:hAnsiTheme="majorHAnsi" w:cstheme="majorBidi"/>
      <w:color w:val="365F91"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222C7D"/>
    <w:pPr>
      <w:keepNext/>
      <w:keepLines/>
      <w:spacing w:before="160" w:after="80" w:line="276" w:lineRule="auto"/>
      <w:ind w:firstLine="0"/>
      <w:outlineLvl w:val="1"/>
    </w:pPr>
    <w:rPr>
      <w:rFonts w:asciiTheme="majorHAnsi" w:eastAsiaTheme="majorEastAsia" w:hAnsiTheme="majorHAnsi" w:cstheme="majorBidi"/>
      <w:color w:val="365F91"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222C7D"/>
    <w:pPr>
      <w:keepNext/>
      <w:keepLines/>
      <w:spacing w:before="160" w:after="80" w:line="276" w:lineRule="auto"/>
      <w:ind w:firstLine="0"/>
      <w:outlineLvl w:val="2"/>
    </w:pPr>
    <w:rPr>
      <w:rFonts w:asciiTheme="minorHAnsi" w:eastAsiaTheme="majorEastAsia" w:hAnsiTheme="minorHAnsi" w:cstheme="majorBidi"/>
      <w:color w:val="365F91"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222C7D"/>
    <w:pPr>
      <w:keepNext/>
      <w:keepLines/>
      <w:spacing w:before="80" w:after="40" w:line="276" w:lineRule="auto"/>
      <w:ind w:firstLine="0"/>
      <w:outlineLvl w:val="3"/>
    </w:pPr>
    <w:rPr>
      <w:rFonts w:asciiTheme="minorHAnsi" w:eastAsiaTheme="majorEastAsia" w:hAnsiTheme="minorHAnsi" w:cstheme="majorBidi"/>
      <w:i/>
      <w:iCs/>
      <w:color w:val="365F91" w:themeColor="accent1" w:themeShade="BF"/>
      <w:kern w:val="2"/>
      <w:sz w:val="24"/>
      <w:szCs w:val="22"/>
      <w:lang w:val="ru-RU"/>
      <w14:ligatures w14:val="standardContextual"/>
    </w:rPr>
  </w:style>
  <w:style w:type="paragraph" w:styleId="5">
    <w:name w:val="heading 5"/>
    <w:basedOn w:val="a"/>
    <w:next w:val="a"/>
    <w:link w:val="50"/>
    <w:uiPriority w:val="9"/>
    <w:semiHidden/>
    <w:unhideWhenUsed/>
    <w:qFormat/>
    <w:rsid w:val="00222C7D"/>
    <w:pPr>
      <w:keepNext/>
      <w:keepLines/>
      <w:spacing w:before="80" w:after="40" w:line="276" w:lineRule="auto"/>
      <w:ind w:firstLine="0"/>
      <w:outlineLvl w:val="4"/>
    </w:pPr>
    <w:rPr>
      <w:rFonts w:asciiTheme="minorHAnsi" w:eastAsiaTheme="majorEastAsia" w:hAnsiTheme="minorHAnsi" w:cstheme="majorBidi"/>
      <w:color w:val="365F91" w:themeColor="accent1" w:themeShade="BF"/>
      <w:kern w:val="2"/>
      <w:sz w:val="24"/>
      <w:szCs w:val="22"/>
      <w:lang w:val="ru-RU"/>
      <w14:ligatures w14:val="standardContextual"/>
    </w:rPr>
  </w:style>
  <w:style w:type="paragraph" w:styleId="6">
    <w:name w:val="heading 6"/>
    <w:basedOn w:val="a"/>
    <w:next w:val="a"/>
    <w:link w:val="60"/>
    <w:uiPriority w:val="9"/>
    <w:semiHidden/>
    <w:unhideWhenUsed/>
    <w:qFormat/>
    <w:rsid w:val="00222C7D"/>
    <w:pPr>
      <w:keepNext/>
      <w:keepLines/>
      <w:spacing w:before="40" w:line="276" w:lineRule="auto"/>
      <w:ind w:firstLine="0"/>
      <w:outlineLvl w:val="5"/>
    </w:pPr>
    <w:rPr>
      <w:rFonts w:asciiTheme="minorHAnsi" w:eastAsiaTheme="majorEastAsia" w:hAnsiTheme="minorHAnsi" w:cstheme="majorBidi"/>
      <w:i/>
      <w:iCs/>
      <w:color w:val="595959" w:themeColor="text1" w:themeTint="A6"/>
      <w:kern w:val="2"/>
      <w:sz w:val="24"/>
      <w:szCs w:val="22"/>
      <w:lang w:val="ru-RU"/>
      <w14:ligatures w14:val="standardContextual"/>
    </w:rPr>
  </w:style>
  <w:style w:type="paragraph" w:styleId="7">
    <w:name w:val="heading 7"/>
    <w:basedOn w:val="a"/>
    <w:next w:val="a"/>
    <w:link w:val="70"/>
    <w:uiPriority w:val="9"/>
    <w:semiHidden/>
    <w:unhideWhenUsed/>
    <w:qFormat/>
    <w:rsid w:val="00222C7D"/>
    <w:pPr>
      <w:keepNext/>
      <w:keepLines/>
      <w:spacing w:before="40" w:line="276" w:lineRule="auto"/>
      <w:ind w:firstLine="0"/>
      <w:outlineLvl w:val="6"/>
    </w:pPr>
    <w:rPr>
      <w:rFonts w:asciiTheme="minorHAnsi" w:eastAsiaTheme="majorEastAsia" w:hAnsiTheme="minorHAnsi" w:cstheme="majorBidi"/>
      <w:color w:val="595959" w:themeColor="text1" w:themeTint="A6"/>
      <w:kern w:val="2"/>
      <w:sz w:val="24"/>
      <w:szCs w:val="22"/>
      <w:lang w:val="ru-RU"/>
      <w14:ligatures w14:val="standardContextual"/>
    </w:rPr>
  </w:style>
  <w:style w:type="paragraph" w:styleId="8">
    <w:name w:val="heading 8"/>
    <w:basedOn w:val="a"/>
    <w:next w:val="a"/>
    <w:link w:val="80"/>
    <w:uiPriority w:val="9"/>
    <w:semiHidden/>
    <w:unhideWhenUsed/>
    <w:qFormat/>
    <w:rsid w:val="00222C7D"/>
    <w:pPr>
      <w:keepNext/>
      <w:keepLines/>
      <w:spacing w:line="276" w:lineRule="auto"/>
      <w:ind w:firstLine="0"/>
      <w:outlineLvl w:val="7"/>
    </w:pPr>
    <w:rPr>
      <w:rFonts w:asciiTheme="minorHAnsi" w:eastAsiaTheme="majorEastAsia" w:hAnsiTheme="minorHAnsi" w:cstheme="majorBidi"/>
      <w:i/>
      <w:iCs/>
      <w:color w:val="272727" w:themeColor="text1" w:themeTint="D8"/>
      <w:kern w:val="2"/>
      <w:sz w:val="24"/>
      <w:szCs w:val="22"/>
      <w:lang w:val="ru-RU"/>
      <w14:ligatures w14:val="standardContextual"/>
    </w:rPr>
  </w:style>
  <w:style w:type="paragraph" w:styleId="9">
    <w:name w:val="heading 9"/>
    <w:basedOn w:val="a"/>
    <w:next w:val="a"/>
    <w:link w:val="90"/>
    <w:uiPriority w:val="9"/>
    <w:semiHidden/>
    <w:unhideWhenUsed/>
    <w:qFormat/>
    <w:rsid w:val="00222C7D"/>
    <w:pPr>
      <w:keepNext/>
      <w:keepLines/>
      <w:spacing w:line="276" w:lineRule="auto"/>
      <w:ind w:firstLine="0"/>
      <w:outlineLvl w:val="8"/>
    </w:pPr>
    <w:rPr>
      <w:rFonts w:asciiTheme="minorHAnsi" w:eastAsiaTheme="majorEastAsia" w:hAnsiTheme="minorHAnsi" w:cstheme="majorBidi"/>
      <w:color w:val="272727" w:themeColor="text1" w:themeTint="D8"/>
      <w:kern w:val="2"/>
      <w:sz w:val="24"/>
      <w:szCs w:val="2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2C7D"/>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222C7D"/>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222C7D"/>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222C7D"/>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222C7D"/>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222C7D"/>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222C7D"/>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222C7D"/>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222C7D"/>
    <w:rPr>
      <w:rFonts w:eastAsiaTheme="majorEastAsia" w:cstheme="majorBidi"/>
      <w:color w:val="272727" w:themeColor="text1" w:themeTint="D8"/>
      <w:sz w:val="24"/>
    </w:rPr>
  </w:style>
  <w:style w:type="paragraph" w:styleId="a3">
    <w:name w:val="Title"/>
    <w:basedOn w:val="a"/>
    <w:next w:val="a"/>
    <w:link w:val="a4"/>
    <w:uiPriority w:val="10"/>
    <w:qFormat/>
    <w:rsid w:val="00222C7D"/>
    <w:pPr>
      <w:spacing w:after="80"/>
      <w:ind w:firstLine="0"/>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222C7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22C7D"/>
    <w:pPr>
      <w:numPr>
        <w:ilvl w:val="1"/>
      </w:numPr>
      <w:spacing w:after="160" w:line="276" w:lineRule="auto"/>
    </w:pPr>
    <w:rPr>
      <w:rFonts w:asciiTheme="minorHAnsi" w:eastAsiaTheme="majorEastAsia" w:hAnsiTheme="minorHAnsi"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222C7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22C7D"/>
    <w:pPr>
      <w:spacing w:before="160" w:after="160" w:line="276" w:lineRule="auto"/>
      <w:ind w:firstLine="0"/>
      <w:jc w:val="center"/>
    </w:pPr>
    <w:rPr>
      <w:rFonts w:eastAsiaTheme="minorHAnsi" w:cstheme="minorBidi"/>
      <w:i/>
      <w:iCs/>
      <w:color w:val="404040" w:themeColor="text1" w:themeTint="BF"/>
      <w:kern w:val="2"/>
      <w:sz w:val="24"/>
      <w:szCs w:val="22"/>
      <w:lang w:val="ru-RU"/>
      <w14:ligatures w14:val="standardContextual"/>
    </w:rPr>
  </w:style>
  <w:style w:type="character" w:customStyle="1" w:styleId="22">
    <w:name w:val="Цитата 2 Знак"/>
    <w:basedOn w:val="a0"/>
    <w:link w:val="21"/>
    <w:uiPriority w:val="29"/>
    <w:rsid w:val="00222C7D"/>
    <w:rPr>
      <w:rFonts w:ascii="Times New Roman" w:hAnsi="Times New Roman"/>
      <w:i/>
      <w:iCs/>
      <w:color w:val="404040" w:themeColor="text1" w:themeTint="BF"/>
      <w:sz w:val="24"/>
    </w:rPr>
  </w:style>
  <w:style w:type="paragraph" w:styleId="a7">
    <w:name w:val="List Paragraph"/>
    <w:basedOn w:val="a"/>
    <w:uiPriority w:val="34"/>
    <w:qFormat/>
    <w:rsid w:val="00222C7D"/>
    <w:pPr>
      <w:spacing w:after="200" w:line="276" w:lineRule="auto"/>
      <w:ind w:left="720" w:firstLine="0"/>
      <w:contextualSpacing/>
    </w:pPr>
    <w:rPr>
      <w:rFonts w:eastAsiaTheme="minorHAnsi" w:cstheme="minorBidi"/>
      <w:kern w:val="2"/>
      <w:sz w:val="24"/>
      <w:szCs w:val="22"/>
      <w:lang w:val="ru-RU"/>
      <w14:ligatures w14:val="standardContextual"/>
    </w:rPr>
  </w:style>
  <w:style w:type="character" w:styleId="a8">
    <w:name w:val="Intense Emphasis"/>
    <w:basedOn w:val="a0"/>
    <w:uiPriority w:val="21"/>
    <w:qFormat/>
    <w:rsid w:val="00222C7D"/>
    <w:rPr>
      <w:i/>
      <w:iCs/>
      <w:color w:val="365F91" w:themeColor="accent1" w:themeShade="BF"/>
    </w:rPr>
  </w:style>
  <w:style w:type="paragraph" w:styleId="a9">
    <w:name w:val="Intense Quote"/>
    <w:basedOn w:val="a"/>
    <w:next w:val="a"/>
    <w:link w:val="aa"/>
    <w:uiPriority w:val="30"/>
    <w:qFormat/>
    <w:rsid w:val="00222C7D"/>
    <w:pPr>
      <w:pBdr>
        <w:top w:val="single" w:sz="4" w:space="10" w:color="365F91" w:themeColor="accent1" w:themeShade="BF"/>
        <w:bottom w:val="single" w:sz="4" w:space="10" w:color="365F91" w:themeColor="accent1" w:themeShade="BF"/>
      </w:pBdr>
      <w:spacing w:before="360" w:after="360" w:line="276" w:lineRule="auto"/>
      <w:ind w:left="864" w:right="864" w:firstLine="0"/>
      <w:jc w:val="center"/>
    </w:pPr>
    <w:rPr>
      <w:rFonts w:eastAsiaTheme="minorHAnsi" w:cstheme="minorBidi"/>
      <w:i/>
      <w:iCs/>
      <w:color w:val="365F91" w:themeColor="accent1" w:themeShade="BF"/>
      <w:kern w:val="2"/>
      <w:sz w:val="24"/>
      <w:szCs w:val="22"/>
      <w:lang w:val="ru-RU"/>
      <w14:ligatures w14:val="standardContextual"/>
    </w:rPr>
  </w:style>
  <w:style w:type="character" w:customStyle="1" w:styleId="aa">
    <w:name w:val="Выделенная цитата Знак"/>
    <w:basedOn w:val="a0"/>
    <w:link w:val="a9"/>
    <w:uiPriority w:val="30"/>
    <w:rsid w:val="00222C7D"/>
    <w:rPr>
      <w:rFonts w:ascii="Times New Roman" w:hAnsi="Times New Roman"/>
      <w:i/>
      <w:iCs/>
      <w:color w:val="365F91" w:themeColor="accent1" w:themeShade="BF"/>
      <w:sz w:val="24"/>
    </w:rPr>
  </w:style>
  <w:style w:type="character" w:styleId="ab">
    <w:name w:val="Intense Reference"/>
    <w:basedOn w:val="a0"/>
    <w:uiPriority w:val="32"/>
    <w:qFormat/>
    <w:rsid w:val="00222C7D"/>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506</Words>
  <Characters>3034</Characters>
  <Application>Microsoft Office Word</Application>
  <DocSecurity>0</DocSecurity>
  <Lines>48</Lines>
  <Paragraphs>19</Paragraphs>
  <ScaleCrop>false</ScaleCrop>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2</cp:revision>
  <dcterms:created xsi:type="dcterms:W3CDTF">2026-02-12T08:05:00Z</dcterms:created>
  <dcterms:modified xsi:type="dcterms:W3CDTF">2026-02-12T08:06:00Z</dcterms:modified>
</cp:coreProperties>
</file>